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D16E56" w:rsidRPr="009517DE" w14:paraId="0AC1319F" w14:textId="77777777" w:rsidTr="00B84DDE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EA4B75" w14:textId="77777777" w:rsidR="00D16E56" w:rsidRPr="003C3E6F" w:rsidRDefault="00D16E56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1D5D8399" w14:textId="77777777" w:rsidR="00D16E56" w:rsidRPr="003C3E6F" w:rsidRDefault="00D16E56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3C3E6F">
              <w:rPr>
                <w:rFonts w:ascii="Book Antiqua" w:hAnsi="Book Antiqua"/>
                <w:b/>
                <w:snapToGrid w:val="0"/>
                <w:sz w:val="24"/>
                <w:szCs w:val="24"/>
              </w:rPr>
              <w:t>CHECK LIST</w:t>
            </w:r>
          </w:p>
          <w:p w14:paraId="278E51FC" w14:textId="77777777" w:rsidR="00D16E56" w:rsidRPr="003C3E6F" w:rsidRDefault="00D16E56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19EBFC61" w14:textId="77777777" w:rsidR="00D16E56" w:rsidRPr="003C3E6F" w:rsidRDefault="00D16E56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3C3E6F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“PARERE SULLE TRANSAZIONI DI COMPETENZA DEL CONSIGLIO COMUNALE”</w:t>
            </w:r>
          </w:p>
          <w:p w14:paraId="0D3DC1D3" w14:textId="77777777" w:rsidR="00D16E56" w:rsidRPr="003C3E6F" w:rsidRDefault="00D16E56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3C3E6F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  <w:p w14:paraId="1541720E" w14:textId="77777777" w:rsidR="003C3E6F" w:rsidRPr="003C3E6F" w:rsidRDefault="003C3E6F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D16E56" w:rsidRPr="009517DE" w14:paraId="127CD21E" w14:textId="77777777" w:rsidTr="00B84DDE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30994C85" w14:textId="77777777" w:rsidR="00D16E56" w:rsidRPr="003C3E6F" w:rsidRDefault="00D16E56" w:rsidP="00D16E5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snapToGrid w:val="0"/>
                <w:sz w:val="24"/>
                <w:szCs w:val="24"/>
              </w:rPr>
            </w:pPr>
          </w:p>
          <w:p w14:paraId="04196728" w14:textId="77777777" w:rsidR="00D16E56" w:rsidRPr="003C3E6F" w:rsidRDefault="00D16E56" w:rsidP="00D16E5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snapToGrid w:val="0"/>
                <w:sz w:val="24"/>
                <w:szCs w:val="24"/>
              </w:rPr>
            </w:pPr>
            <w:r w:rsidRPr="003C3E6F">
              <w:rPr>
                <w:rFonts w:ascii="Book Antiqua" w:hAnsi="Book Antiqua"/>
                <w:snapToGrid w:val="0"/>
                <w:sz w:val="24"/>
                <w:szCs w:val="24"/>
              </w:rPr>
              <w:t xml:space="preserve">Punto </w:t>
            </w:r>
            <w:proofErr w:type="gramStart"/>
            <w:r w:rsidRPr="003C3E6F">
              <w:rPr>
                <w:rFonts w:ascii="Book Antiqua" w:hAnsi="Book Antiqua"/>
                <w:snapToGrid w:val="0"/>
                <w:sz w:val="24"/>
                <w:szCs w:val="24"/>
              </w:rPr>
              <w:t>2.4  PVC</w:t>
            </w:r>
            <w:proofErr w:type="gramEnd"/>
            <w:r w:rsidRPr="003C3E6F">
              <w:rPr>
                <w:rFonts w:ascii="Book Antiqua" w:hAnsi="Book Antiqua"/>
                <w:snapToGrid w:val="0"/>
                <w:sz w:val="24"/>
                <w:szCs w:val="24"/>
              </w:rPr>
              <w:t xml:space="preserve"> n. 2</w:t>
            </w:r>
          </w:p>
          <w:p w14:paraId="5D971F07" w14:textId="77777777" w:rsidR="00D16E56" w:rsidRPr="003C3E6F" w:rsidRDefault="00D16E56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098E43E9" w14:textId="5F9E25B9" w:rsidR="00D16E56" w:rsidRPr="003C3E6F" w:rsidRDefault="00D16E56" w:rsidP="00B84DD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</w:pPr>
            <w:r w:rsidRPr="003C3E6F"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  <w:t>art.</w:t>
            </w:r>
            <w:r w:rsidR="003C3E6F"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  <w:t xml:space="preserve"> </w:t>
            </w:r>
            <w:r w:rsidRPr="003C3E6F"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  <w:t>239, c</w:t>
            </w:r>
            <w:r w:rsidR="003D6219"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  <w:t>o</w:t>
            </w:r>
            <w:r w:rsidRPr="003C3E6F"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  <w:t>mma 1, lett. b, n.6 del Tuel</w:t>
            </w:r>
          </w:p>
          <w:p w14:paraId="31CFF87E" w14:textId="77777777" w:rsidR="00D16E56" w:rsidRPr="003C3E6F" w:rsidRDefault="00D16E56" w:rsidP="00D16E5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2711FE" w:rsidRPr="003272B0" w14:paraId="1D7E3911" w14:textId="77777777" w:rsidTr="00330BFD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920AA68" w14:textId="79117296" w:rsidR="002711FE" w:rsidRPr="008F5865" w:rsidRDefault="002711FE" w:rsidP="002711FE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</w:t>
            </w:r>
            <w:proofErr w:type="gramStart"/>
            <w:r w:rsidRPr="008F5865">
              <w:rPr>
                <w:rFonts w:ascii="Book Antiqua" w:hAnsi="Book Antiqua"/>
                <w:b/>
              </w:rPr>
              <w:t>…….</w:t>
            </w:r>
            <w:proofErr w:type="gramEnd"/>
            <w:r w:rsidRPr="008F5865">
              <w:rPr>
                <w:rFonts w:ascii="Book Antiqua" w:hAnsi="Book Antiqua"/>
                <w:b/>
              </w:rPr>
              <w:t>.</w:t>
            </w:r>
            <w:r w:rsidR="003D6219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053621F7" w14:textId="77777777" w:rsidR="002711FE" w:rsidRPr="008F5865" w:rsidRDefault="002711FE" w:rsidP="002711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</w:t>
            </w:r>
            <w:proofErr w:type="gramStart"/>
            <w:r w:rsidRPr="008F5865">
              <w:rPr>
                <w:rFonts w:ascii="Book Antiqua" w:hAnsi="Book Antiqua"/>
              </w:rPr>
              <w:t>…….</w:t>
            </w:r>
            <w:proofErr w:type="gramEnd"/>
            <w:r w:rsidRPr="008F5865">
              <w:rPr>
                <w:rFonts w:ascii="Book Antiqua" w:hAnsi="Book Antiqua"/>
              </w:rPr>
              <w:t>.</w:t>
            </w:r>
          </w:p>
          <w:p w14:paraId="08C1AD77" w14:textId="77777777" w:rsidR="002711FE" w:rsidRDefault="002711FE" w:rsidP="002711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da………………………</w:t>
            </w:r>
            <w:proofErr w:type="gramStart"/>
            <w:r w:rsidRPr="008F5865">
              <w:rPr>
                <w:rFonts w:ascii="Book Antiqua" w:hAnsi="Book Antiqua"/>
              </w:rPr>
              <w:t>…….</w:t>
            </w:r>
            <w:proofErr w:type="gramEnd"/>
            <w:r w:rsidRPr="008F5865">
              <w:rPr>
                <w:rFonts w:ascii="Book Antiqua" w:hAnsi="Book Antiqua"/>
              </w:rPr>
              <w:t xml:space="preserve">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</w:t>
            </w:r>
            <w:proofErr w:type="gramStart"/>
            <w:r w:rsidRPr="008F5865">
              <w:rPr>
                <w:rFonts w:ascii="Book Antiqua" w:hAnsi="Book Antiqua"/>
              </w:rPr>
              <w:t>…….</w:t>
            </w:r>
            <w:proofErr w:type="gramEnd"/>
            <w:r w:rsidRPr="008F5865">
              <w:rPr>
                <w:rFonts w:ascii="Book Antiqua" w:hAnsi="Book Antiqua"/>
              </w:rPr>
              <w:t>.</w:t>
            </w:r>
          </w:p>
          <w:p w14:paraId="09287292" w14:textId="77777777" w:rsidR="002711FE" w:rsidRDefault="002711FE" w:rsidP="002711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da………………………</w:t>
            </w:r>
            <w:proofErr w:type="gramStart"/>
            <w:r w:rsidRPr="008F5865">
              <w:rPr>
                <w:rFonts w:ascii="Book Antiqua" w:hAnsi="Book Antiqua"/>
              </w:rPr>
              <w:t>…….</w:t>
            </w:r>
            <w:proofErr w:type="gramEnd"/>
            <w:r w:rsidRPr="008F5865">
              <w:rPr>
                <w:rFonts w:ascii="Book Antiqua" w:hAnsi="Book Antiqua"/>
              </w:rPr>
              <w:t xml:space="preserve">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</w:t>
            </w:r>
            <w:proofErr w:type="gramStart"/>
            <w:r w:rsidRPr="008F5865">
              <w:rPr>
                <w:rFonts w:ascii="Book Antiqua" w:hAnsi="Book Antiqua"/>
              </w:rPr>
              <w:t>…….</w:t>
            </w:r>
            <w:proofErr w:type="gramEnd"/>
            <w:r w:rsidRPr="008F5865">
              <w:rPr>
                <w:rFonts w:ascii="Book Antiqua" w:hAnsi="Book Antiqua"/>
              </w:rPr>
              <w:t>.</w:t>
            </w:r>
          </w:p>
          <w:p w14:paraId="72576302" w14:textId="77777777" w:rsidR="002711FE" w:rsidRDefault="002711F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18F7157F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995824B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7B45654" w14:textId="77777777" w:rsidR="00227EFB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  <w:p w14:paraId="3C60C19D" w14:textId="77777777" w:rsidR="001E07A9" w:rsidRPr="00E56E02" w:rsidRDefault="001E07A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(da eseguire prima del rilascio del parere sulle transazioni)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F0697E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00BEF3A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4E53F7D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9C179D2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6B5E36" w14:textId="7A8E09E8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3EEC08FB" w14:textId="71DABE58" w:rsidR="00404733" w:rsidRPr="00E56E02" w:rsidRDefault="00A17C3E" w:rsidP="002711F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404733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214F97" w14:textId="6E704E26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elle procedure svolte e delle evidenze prodotte - Commenti</w:t>
            </w:r>
          </w:p>
        </w:tc>
      </w:tr>
      <w:tr w:rsidR="00E27F1E" w:rsidRPr="001818C5" w14:paraId="132F11CC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11C" w14:textId="5BF2F773" w:rsidR="00E27F1E" w:rsidRPr="007D0865" w:rsidRDefault="00E27F1E" w:rsidP="001154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napToGrid w:val="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04DEA">
              <w:rPr>
                <w:sz w:val="22"/>
                <w:szCs w:val="22"/>
              </w:rPr>
              <w:t>Acquisizione della proposta di delibera dell’organo politico, dell’atto transattivo e documentazione collegata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A4B50" w14:textId="77777777" w:rsidR="00E27F1E" w:rsidRPr="001818C5" w:rsidRDefault="00E27F1E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2DCE" w14:textId="77777777" w:rsidR="00E27F1E" w:rsidRPr="001818C5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0755" w14:textId="77777777" w:rsidR="00E27F1E" w:rsidRPr="001818C5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3D5D" w14:textId="77777777" w:rsidR="00E27F1E" w:rsidRPr="001818C5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27F1E" w:rsidRPr="003B08CF" w14:paraId="3F62FA20" w14:textId="77777777" w:rsidTr="006C645B">
        <w:trPr>
          <w:trHeight w:val="8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A8000" w14:textId="130BE5D3" w:rsidR="00E27F1E" w:rsidRDefault="00E27F1E" w:rsidP="009771AE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  <w:r>
              <w:rPr>
                <w:sz w:val="22"/>
                <w:szCs w:val="22"/>
              </w:rPr>
              <w:t>L’accordo transattivo presuppone la decisione dell’ente di pervenire ad un accordo con la controparte per cui è possibile per l’Ente definire tanto il sorgere dell’obbligazione quanto i tempi dell’adempimento</w:t>
            </w:r>
            <w:r w:rsidR="009771AE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D3F03" w14:textId="77777777" w:rsidR="00E27F1E" w:rsidRPr="003B08CF" w:rsidRDefault="00E27F1E" w:rsidP="006C645B">
            <w:pPr>
              <w:widowControl w:val="0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74D14" w14:textId="77777777" w:rsidR="00E27F1E" w:rsidRPr="003B08CF" w:rsidRDefault="00E27F1E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4BCD4" w14:textId="77777777" w:rsidR="00E27F1E" w:rsidRPr="003B08CF" w:rsidRDefault="00E27F1E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CCC35" w14:textId="77777777" w:rsidR="00E27F1E" w:rsidRPr="003B08CF" w:rsidRDefault="00E27F1E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</w:tr>
      <w:tr w:rsidR="00E27F1E" w14:paraId="43C23835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748A" w14:textId="77777777" w:rsidR="00E27F1E" w:rsidRDefault="00E27F1E" w:rsidP="0011547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 della sussistenza dei requisiti, soggettivo e oggettivo, di ammissibilità dell’accordo transattivo:</w:t>
            </w:r>
          </w:p>
          <w:p w14:paraId="6BDDC6F2" w14:textId="77777777" w:rsidR="00E27F1E" w:rsidRDefault="00E27F1E" w:rsidP="0011547F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6261293" w14:textId="4A7C8A79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>che il contenuto della transazione preveda concessioni reciproche, stante il carattere dell’incertezza;</w:t>
            </w:r>
          </w:p>
          <w:p w14:paraId="6DA3512A" w14:textId="77777777" w:rsidR="00E27F1E" w:rsidRPr="00704DEA" w:rsidRDefault="00E27F1E" w:rsidP="0011547F">
            <w:pPr>
              <w:pStyle w:val="Paragrafoelenco"/>
              <w:widowControl w:val="0"/>
              <w:jc w:val="both"/>
              <w:rPr>
                <w:sz w:val="22"/>
                <w:szCs w:val="22"/>
              </w:rPr>
            </w:pPr>
          </w:p>
          <w:p w14:paraId="2D6DA834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>che vi sia una controversia giuridica (non un semplice conflitto economici), che sussiste o che può sorgere quando si contrappongono pretese configgenti di cui non sia possibile a priori stabilire quale sia giuridicamente fondata</w:t>
            </w:r>
            <w:r>
              <w:rPr>
                <w:sz w:val="22"/>
                <w:szCs w:val="22"/>
              </w:rPr>
              <w:t>;</w:t>
            </w:r>
          </w:p>
          <w:p w14:paraId="62DA94C0" w14:textId="77777777" w:rsidR="00E27F1E" w:rsidRPr="003D58BF" w:rsidRDefault="00E27F1E" w:rsidP="0011547F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6897CFD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 xml:space="preserve">che si tratti di diritti disponibili e a contenuto patrimoniale; </w:t>
            </w:r>
          </w:p>
          <w:p w14:paraId="138CDDB0" w14:textId="77777777" w:rsidR="00E27F1E" w:rsidRPr="003D58BF" w:rsidRDefault="00E27F1E" w:rsidP="0011547F">
            <w:pPr>
              <w:pStyle w:val="Paragrafoelenco"/>
              <w:rPr>
                <w:sz w:val="22"/>
                <w:szCs w:val="22"/>
              </w:rPr>
            </w:pPr>
          </w:p>
          <w:p w14:paraId="1E217272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>circa le modalità di formazione della volontà amministrativa, la transazione ha a corredo un parere dell’avvocatura dell’ente, oppure una relazione (di norma riservata al legale che assiste lo stesso Ente) o del Responsabile del servizio che ne motiva l’opportunità e la convenienza;</w:t>
            </w:r>
          </w:p>
          <w:p w14:paraId="04303A29" w14:textId="77777777" w:rsidR="00E27F1E" w:rsidRPr="003D58BF" w:rsidRDefault="00E27F1E" w:rsidP="0011547F">
            <w:pPr>
              <w:pStyle w:val="Paragrafoelenco"/>
              <w:rPr>
                <w:sz w:val="22"/>
                <w:szCs w:val="22"/>
              </w:rPr>
            </w:pPr>
          </w:p>
          <w:p w14:paraId="4933F9F5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3D58BF">
              <w:rPr>
                <w:sz w:val="22"/>
                <w:szCs w:val="22"/>
              </w:rPr>
              <w:t>l’atto amministrativo deve essere motivato ed ispirato a criteri di razionalità, congruità e prudente apprezzamento e comunque non presentare caratteristiche di manifesta illogicità</w:t>
            </w:r>
            <w:r>
              <w:rPr>
                <w:sz w:val="22"/>
                <w:szCs w:val="22"/>
              </w:rPr>
              <w:t>;</w:t>
            </w:r>
          </w:p>
          <w:p w14:paraId="6A08F548" w14:textId="77777777" w:rsidR="00E27F1E" w:rsidRPr="003D58BF" w:rsidRDefault="00E27F1E" w:rsidP="0011547F">
            <w:pPr>
              <w:pStyle w:val="Paragrafoelenco"/>
              <w:rPr>
                <w:sz w:val="22"/>
                <w:szCs w:val="22"/>
              </w:rPr>
            </w:pPr>
          </w:p>
          <w:p w14:paraId="74B6BDB8" w14:textId="77777777" w:rsidR="00E27F1E" w:rsidRPr="003D58BF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3D58BF">
              <w:rPr>
                <w:sz w:val="22"/>
                <w:szCs w:val="22"/>
              </w:rPr>
              <w:lastRenderedPageBreak/>
              <w:t>che la valutazione della convenienza economica opera in relazione all’incertezza del giudizio</w:t>
            </w:r>
            <w:r>
              <w:rPr>
                <w:sz w:val="22"/>
                <w:szCs w:val="22"/>
              </w:rPr>
              <w:t xml:space="preserve"> (rischio di causa)</w:t>
            </w:r>
            <w:r w:rsidRPr="003D58BF">
              <w:rPr>
                <w:sz w:val="22"/>
                <w:szCs w:val="22"/>
              </w:rPr>
              <w:t xml:space="preserve">, intesa quest’ultima in senso relativo, da valutarsi in relazione alla natura delle pretese, alla chiarezza della situazione normativa e ad eventuali orientamenti giurisprudenziali, tenuto conto anche dell’andamento processuale.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31A2" w14:textId="77777777" w:rsidR="00E27F1E" w:rsidRDefault="00E27F1E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DC03" w14:textId="77777777" w:rsidR="00E27F1E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0F7F" w14:textId="77777777" w:rsidR="00E27F1E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3BA6" w14:textId="77777777" w:rsidR="00E27F1E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27F1E" w:rsidRPr="00EF2114" w14:paraId="1844FB51" w14:textId="77777777" w:rsidTr="008230A8">
        <w:trPr>
          <w:trHeight w:val="50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313A9" w14:textId="7477471D" w:rsidR="00E27F1E" w:rsidRPr="007D0865" w:rsidRDefault="00E27F1E" w:rsidP="0011547F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  <w:r w:rsidRPr="003D58BF">
              <w:rPr>
                <w:sz w:val="22"/>
                <w:szCs w:val="22"/>
              </w:rPr>
              <w:t>L’organo di controllo ha verificato che la transazione non costituisce esimente procedurale della eventuale necessità di riconoscere a monte un debito fuori bilanci</w:t>
            </w:r>
            <w:r w:rsidR="002711FE">
              <w:rPr>
                <w:sz w:val="22"/>
                <w:szCs w:val="22"/>
              </w:rPr>
              <w:t>o</w:t>
            </w:r>
            <w:r w:rsidRPr="003D58B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45FC08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29D3D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7214C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854F6D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9F01BA" w:rsidRPr="00EF2114" w14:paraId="05A15877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6A096D" w14:textId="4E99CB0D" w:rsidR="009F01BA" w:rsidRPr="00B66AB3" w:rsidRDefault="009F01BA" w:rsidP="0011547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debito pregresso rientra tra i casi di debito fuori bilancio ex art. 194 Tuel, in quanto la transazione non ne muta la natura contabile?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F85A82" w14:textId="77777777" w:rsidR="009F01BA" w:rsidRPr="00EF2114" w:rsidRDefault="009F01BA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B52B1B" w14:textId="77777777" w:rsidR="009F01BA" w:rsidRPr="00EF2114" w:rsidRDefault="009F01BA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38AA4" w14:textId="77777777" w:rsidR="009F01BA" w:rsidRPr="00EF2114" w:rsidRDefault="009F01BA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A9BA2" w14:textId="77777777" w:rsidR="009F01BA" w:rsidRPr="00EF2114" w:rsidRDefault="009F01BA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721216" w:rsidRPr="00EF2114" w14:paraId="6B2DF084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B9311" w14:textId="7B86F333" w:rsidR="00721216" w:rsidRPr="00B66AB3" w:rsidRDefault="00721216" w:rsidP="0011547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 caso di debito fuori bilancio, l’ente ha avviato la procedura amministrativa di riconoscimento?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D5B1BE" w14:textId="77777777" w:rsidR="00721216" w:rsidRPr="00EF2114" w:rsidRDefault="00721216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09332" w14:textId="77777777" w:rsidR="00721216" w:rsidRPr="00EF2114" w:rsidRDefault="00721216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BE8D1" w14:textId="77777777" w:rsidR="00721216" w:rsidRPr="00EF2114" w:rsidRDefault="00721216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4F52F2" w14:textId="77777777" w:rsidR="00721216" w:rsidRPr="00EF2114" w:rsidRDefault="00721216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E27F1E" w:rsidRPr="00EF2114" w14:paraId="4689F777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0F9A7" w14:textId="77777777" w:rsidR="00E27F1E" w:rsidRDefault="00E27F1E" w:rsidP="0011547F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  <w:r w:rsidRPr="00B66AB3">
              <w:rPr>
                <w:sz w:val="22"/>
                <w:szCs w:val="22"/>
              </w:rPr>
              <w:t>L’organo di controllo ha verificato che non vi siano condotte illegittime che abbiano prodotto un danno erariale in violazione dei principi di economicità, efficacia ed efficienza dell’azione amministrativa?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665B0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1811F6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60279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9E2AD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E27F1E" w:rsidRPr="00FC4811" w14:paraId="02536B4D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6A5F" w14:textId="6CFD5B05" w:rsidR="00E27F1E" w:rsidRPr="00B66AB3" w:rsidRDefault="00E27F1E" w:rsidP="0011547F">
            <w:pPr>
              <w:widowControl w:val="0"/>
              <w:jc w:val="both"/>
              <w:rPr>
                <w:rFonts w:asciiTheme="minorHAnsi" w:hAnsiTheme="minorHAnsi"/>
                <w:b/>
                <w:snapToGrid w:val="0"/>
              </w:rPr>
            </w:pPr>
            <w:r w:rsidRPr="00B66AB3">
              <w:rPr>
                <w:sz w:val="22"/>
                <w:szCs w:val="22"/>
              </w:rPr>
              <w:t xml:space="preserve">In presenza di condotte illegittime, l’organo di controllo ha richiesto all’Ente di </w:t>
            </w:r>
            <w:r w:rsidRPr="00B66AB3">
              <w:rPr>
                <w:rFonts w:asciiTheme="minorHAnsi" w:hAnsiTheme="minorHAnsi"/>
                <w:snapToGrid w:val="0"/>
              </w:rPr>
              <w:t xml:space="preserve">In </w:t>
            </w:r>
            <w:r w:rsidRPr="00B66AB3">
              <w:rPr>
                <w:sz w:val="22"/>
                <w:szCs w:val="22"/>
              </w:rPr>
              <w:t xml:space="preserve">inviare la documentazione alla competente Procura Regionale della Corte dei </w:t>
            </w:r>
            <w:r w:rsidR="002711FE">
              <w:rPr>
                <w:sz w:val="22"/>
                <w:szCs w:val="22"/>
              </w:rPr>
              <w:t>c</w:t>
            </w:r>
            <w:r w:rsidRPr="00B66AB3">
              <w:rPr>
                <w:sz w:val="22"/>
                <w:szCs w:val="22"/>
              </w:rPr>
              <w:t>onti?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85B2" w14:textId="77777777" w:rsidR="00E27F1E" w:rsidRPr="00FC4811" w:rsidRDefault="00E27F1E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692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9EC4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82DE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27F1E" w:rsidRPr="00FC4811" w14:paraId="4CF8D53C" w14:textId="77777777" w:rsidTr="00E27F1E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1016" w14:textId="77777777" w:rsidR="00E27F1E" w:rsidRDefault="00E27F1E" w:rsidP="00E27F1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E27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>Il parere dell’organo di controllo, tenendo conto del quadro sostanzialmente delineato dalla dottrina e dai principi giurisprudenziali e consulenziali delle sezioni della Corte dei conti, deve tener conto dei seguenti criteri:</w:t>
            </w:r>
          </w:p>
          <w:p w14:paraId="489DEECA" w14:textId="77777777" w:rsidR="00E27F1E" w:rsidRDefault="00E27F1E" w:rsidP="00E27F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E27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>ammissibilità della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 transazione</w:t>
            </w:r>
            <w:r w:rsidRPr="00E27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>;</w:t>
            </w:r>
          </w:p>
          <w:p w14:paraId="6DDEA135" w14:textId="77777777" w:rsidR="00E27F1E" w:rsidRDefault="00E27F1E" w:rsidP="00E27F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E27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 correttezza della procedura; </w:t>
            </w:r>
          </w:p>
          <w:p w14:paraId="10DB68B1" w14:textId="77777777" w:rsidR="00E27F1E" w:rsidRDefault="00E27F1E" w:rsidP="00E27F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E27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competenza ad autorizzare; </w:t>
            </w:r>
          </w:p>
          <w:p w14:paraId="4C4BFA49" w14:textId="77777777" w:rsidR="00E27F1E" w:rsidRDefault="00E27F1E" w:rsidP="00E27F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E27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dimostrazione della convenienza; </w:t>
            </w:r>
          </w:p>
          <w:p w14:paraId="19CD8DE6" w14:textId="77777777" w:rsidR="00E27F1E" w:rsidRPr="00B66AB3" w:rsidRDefault="00E27F1E" w:rsidP="004609AE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27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>corretta imputazione e finanziamento della spesa.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C9800D" w14:textId="77777777" w:rsidR="00E27F1E" w:rsidRPr="00FC4811" w:rsidRDefault="00E27F1E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6426836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A4B244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5579B97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01192F6D" w14:textId="77777777" w:rsidR="00EA5C69" w:rsidRDefault="00EA5C69"/>
    <w:p w14:paraId="3E3D06CB" w14:textId="77777777" w:rsidR="008230A8" w:rsidRDefault="008230A8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8230A8" w:rsidRPr="00F97FDB" w14:paraId="2C05729A" w14:textId="77777777" w:rsidTr="002711FE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B4E" w14:textId="77777777" w:rsidR="008230A8" w:rsidRPr="00F97FDB" w:rsidRDefault="008230A8" w:rsidP="0011547F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C99314F" w14:textId="77777777" w:rsidR="008230A8" w:rsidRPr="00F97FDB" w:rsidRDefault="008230A8" w:rsidP="0011547F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2711FE" w:rsidRPr="00F97FDB" w14:paraId="64D77EA3" w14:textId="77777777" w:rsidTr="002711FE">
        <w:trPr>
          <w:cantSplit/>
          <w:trHeight w:val="293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C44" w14:textId="77777777" w:rsidR="002711FE" w:rsidRPr="00121841" w:rsidRDefault="002711FE" w:rsidP="002711FE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1AC35319" w14:textId="77777777" w:rsidR="002711FE" w:rsidRDefault="002711FE" w:rsidP="002711FE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0826180B" w14:textId="77777777" w:rsidR="002711FE" w:rsidRPr="00F97FDB" w:rsidRDefault="002711FE" w:rsidP="002711FE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38751AFD" w14:textId="77777777" w:rsidR="002711FE" w:rsidRPr="00B16AD9" w:rsidRDefault="002711FE" w:rsidP="002711FE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57A52549" w14:textId="77777777" w:rsidR="002711FE" w:rsidRDefault="002711FE" w:rsidP="002711FE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234AFEA" w14:textId="77777777" w:rsidR="002711FE" w:rsidRDefault="002711FE" w:rsidP="002711FE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B94C1B2" w14:textId="759437FC" w:rsidR="002711FE" w:rsidRPr="00F97FDB" w:rsidRDefault="002711FE" w:rsidP="002711FE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5E31BEE0" w14:textId="77777777" w:rsidR="008230A8" w:rsidRDefault="008230A8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14:paraId="78F8D56A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46FA4" w14:textId="77777777"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4EEBBF5E" w14:textId="6D953071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90790B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195C5A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0D13C331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032D9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4BAC09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10557D7E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3F42F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2B908E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1E003619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BFF73" w14:textId="27FC12BD"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5943ACDA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4B0B6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6F4EDEF7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816DB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0184C2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155C4189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C976D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DA077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0F683D61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AE330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FA67AD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409893AB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76A70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8B0702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6673FA87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65ECF3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3FFA59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774A8C92" w14:textId="6C161489" w:rsidR="004A663E" w:rsidRDefault="004A663E" w:rsidP="00514CB5">
      <w:pPr>
        <w:spacing w:before="100" w:beforeAutospacing="1" w:after="100" w:afterAutospacing="1" w:line="360" w:lineRule="auto"/>
        <w:jc w:val="center"/>
      </w:pPr>
    </w:p>
    <w:sectPr w:rsidR="004A663E" w:rsidSect="00D16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0A61" w14:textId="77777777" w:rsidR="00DC6821" w:rsidRDefault="00DC6821" w:rsidP="0090790B">
      <w:r>
        <w:separator/>
      </w:r>
    </w:p>
  </w:endnote>
  <w:endnote w:type="continuationSeparator" w:id="0">
    <w:p w14:paraId="7E4E31EA" w14:textId="77777777" w:rsidR="00DC6821" w:rsidRDefault="00DC6821" w:rsidP="009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D211" w14:textId="77777777" w:rsidR="0090790B" w:rsidRDefault="009079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9E7E" w14:textId="77777777" w:rsidR="0090790B" w:rsidRDefault="00907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0D23" w14:textId="77777777" w:rsidR="0090790B" w:rsidRDefault="00907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C5CE" w14:textId="77777777" w:rsidR="00DC6821" w:rsidRDefault="00DC6821" w:rsidP="0090790B">
      <w:r>
        <w:separator/>
      </w:r>
    </w:p>
  </w:footnote>
  <w:footnote w:type="continuationSeparator" w:id="0">
    <w:p w14:paraId="0395E237" w14:textId="77777777" w:rsidR="00DC6821" w:rsidRDefault="00DC6821" w:rsidP="0090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DD3E" w14:textId="77777777" w:rsidR="0090790B" w:rsidRDefault="009079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609990"/>
      <w:docPartObj>
        <w:docPartGallery w:val="Watermarks"/>
        <w:docPartUnique/>
      </w:docPartObj>
    </w:sdtPr>
    <w:sdtEndPr/>
    <w:sdtContent>
      <w:p w14:paraId="5F7528BD" w14:textId="140FEDD4" w:rsidR="0090790B" w:rsidRDefault="00DC6821">
        <w:pPr>
          <w:pStyle w:val="Intestazione"/>
        </w:pPr>
        <w:r>
          <w:pict w14:anchorId="6D3F80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A668" w14:textId="77777777" w:rsidR="0090790B" w:rsidRDefault="009079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2729"/>
    <w:multiLevelType w:val="hybridMultilevel"/>
    <w:tmpl w:val="B016DD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1458A"/>
    <w:multiLevelType w:val="hybridMultilevel"/>
    <w:tmpl w:val="764CDE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2"/>
  </w:num>
  <w:num w:numId="5">
    <w:abstractNumId w:val="23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24"/>
  </w:num>
  <w:num w:numId="15">
    <w:abstractNumId w:val="4"/>
  </w:num>
  <w:num w:numId="16">
    <w:abstractNumId w:val="27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  <w:num w:numId="21">
    <w:abstractNumId w:val="25"/>
  </w:num>
  <w:num w:numId="22">
    <w:abstractNumId w:val="19"/>
  </w:num>
  <w:num w:numId="23">
    <w:abstractNumId w:val="26"/>
  </w:num>
  <w:num w:numId="24">
    <w:abstractNumId w:val="5"/>
  </w:num>
  <w:num w:numId="25">
    <w:abstractNumId w:val="7"/>
  </w:num>
  <w:num w:numId="26">
    <w:abstractNumId w:val="17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40AB"/>
    <w:rsid w:val="000A7F37"/>
    <w:rsid w:val="000B1077"/>
    <w:rsid w:val="000B1C23"/>
    <w:rsid w:val="000C4064"/>
    <w:rsid w:val="00104E8C"/>
    <w:rsid w:val="0010705A"/>
    <w:rsid w:val="00135207"/>
    <w:rsid w:val="00135A3B"/>
    <w:rsid w:val="00141DC1"/>
    <w:rsid w:val="00181791"/>
    <w:rsid w:val="00191A68"/>
    <w:rsid w:val="001D5AF8"/>
    <w:rsid w:val="001E07A9"/>
    <w:rsid w:val="00227EFB"/>
    <w:rsid w:val="002472C6"/>
    <w:rsid w:val="002479C7"/>
    <w:rsid w:val="002645D9"/>
    <w:rsid w:val="002711FE"/>
    <w:rsid w:val="002B3C58"/>
    <w:rsid w:val="002D2425"/>
    <w:rsid w:val="002E02AE"/>
    <w:rsid w:val="002E14EB"/>
    <w:rsid w:val="003017BE"/>
    <w:rsid w:val="003120C4"/>
    <w:rsid w:val="00316930"/>
    <w:rsid w:val="00345CF7"/>
    <w:rsid w:val="00364B15"/>
    <w:rsid w:val="003B08CF"/>
    <w:rsid w:val="003C3E6F"/>
    <w:rsid w:val="003D6219"/>
    <w:rsid w:val="00404733"/>
    <w:rsid w:val="004267A7"/>
    <w:rsid w:val="004609AE"/>
    <w:rsid w:val="004629E6"/>
    <w:rsid w:val="004711AB"/>
    <w:rsid w:val="004A663E"/>
    <w:rsid w:val="004F6DC1"/>
    <w:rsid w:val="004F7CAA"/>
    <w:rsid w:val="005069FF"/>
    <w:rsid w:val="00514CB5"/>
    <w:rsid w:val="00545665"/>
    <w:rsid w:val="005812CD"/>
    <w:rsid w:val="005E1D88"/>
    <w:rsid w:val="00624B49"/>
    <w:rsid w:val="00652BD1"/>
    <w:rsid w:val="00657F77"/>
    <w:rsid w:val="0069692E"/>
    <w:rsid w:val="006C4A6B"/>
    <w:rsid w:val="006C521D"/>
    <w:rsid w:val="00721216"/>
    <w:rsid w:val="00725D13"/>
    <w:rsid w:val="00740D40"/>
    <w:rsid w:val="007A1CEA"/>
    <w:rsid w:val="007B5226"/>
    <w:rsid w:val="007F02E7"/>
    <w:rsid w:val="00802D40"/>
    <w:rsid w:val="008230A8"/>
    <w:rsid w:val="00864F79"/>
    <w:rsid w:val="0087468C"/>
    <w:rsid w:val="008E3DE2"/>
    <w:rsid w:val="00903BE4"/>
    <w:rsid w:val="00905468"/>
    <w:rsid w:val="0090790B"/>
    <w:rsid w:val="009318B4"/>
    <w:rsid w:val="00950B80"/>
    <w:rsid w:val="009771AE"/>
    <w:rsid w:val="00987BAC"/>
    <w:rsid w:val="0099702D"/>
    <w:rsid w:val="009D2498"/>
    <w:rsid w:val="009D772A"/>
    <w:rsid w:val="009E1292"/>
    <w:rsid w:val="009F01BA"/>
    <w:rsid w:val="00A17C3E"/>
    <w:rsid w:val="00A56E86"/>
    <w:rsid w:val="00A8547D"/>
    <w:rsid w:val="00A910AD"/>
    <w:rsid w:val="00AA733E"/>
    <w:rsid w:val="00AC2ED9"/>
    <w:rsid w:val="00AC732C"/>
    <w:rsid w:val="00AF7992"/>
    <w:rsid w:val="00B0045C"/>
    <w:rsid w:val="00B22885"/>
    <w:rsid w:val="00B30D36"/>
    <w:rsid w:val="00B76D21"/>
    <w:rsid w:val="00B8307D"/>
    <w:rsid w:val="00BE0630"/>
    <w:rsid w:val="00C34E86"/>
    <w:rsid w:val="00C36ABD"/>
    <w:rsid w:val="00C9567A"/>
    <w:rsid w:val="00CB1E36"/>
    <w:rsid w:val="00D16E56"/>
    <w:rsid w:val="00D22D96"/>
    <w:rsid w:val="00D50BA1"/>
    <w:rsid w:val="00D57855"/>
    <w:rsid w:val="00D77708"/>
    <w:rsid w:val="00D93FAC"/>
    <w:rsid w:val="00DA6C6D"/>
    <w:rsid w:val="00DC6821"/>
    <w:rsid w:val="00E15E90"/>
    <w:rsid w:val="00E17760"/>
    <w:rsid w:val="00E17FE6"/>
    <w:rsid w:val="00E27F1E"/>
    <w:rsid w:val="00E431BC"/>
    <w:rsid w:val="00E53BC5"/>
    <w:rsid w:val="00E56E02"/>
    <w:rsid w:val="00E60998"/>
    <w:rsid w:val="00EA47E1"/>
    <w:rsid w:val="00EA5C69"/>
    <w:rsid w:val="00EC7D1E"/>
    <w:rsid w:val="00ED383F"/>
    <w:rsid w:val="00EF2114"/>
    <w:rsid w:val="00F360F4"/>
    <w:rsid w:val="00F371AD"/>
    <w:rsid w:val="00F41169"/>
    <w:rsid w:val="00F41CC3"/>
    <w:rsid w:val="00F8644E"/>
    <w:rsid w:val="00F872D3"/>
    <w:rsid w:val="00F97FDB"/>
    <w:rsid w:val="00FD0DBE"/>
    <w:rsid w:val="00FE366F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53F922"/>
  <w15:docId w15:val="{04DF88BE-4939-4F83-BEFD-C2326454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27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7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9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7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90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339E-E9F6-4A7A-A1C3-B4316C6C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21</cp:revision>
  <cp:lastPrinted>2020-01-30T13:30:00Z</cp:lastPrinted>
  <dcterms:created xsi:type="dcterms:W3CDTF">2019-11-17T15:09:00Z</dcterms:created>
  <dcterms:modified xsi:type="dcterms:W3CDTF">2020-06-09T15:48:00Z</dcterms:modified>
</cp:coreProperties>
</file>